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2E" w:rsidRPr="0008072E" w:rsidRDefault="0008072E" w:rsidP="0008072E">
      <w:pPr>
        <w:rPr>
          <w:lang w:val="ru-RU"/>
        </w:rPr>
      </w:pPr>
    </w:p>
    <w:p w:rsidR="0008072E" w:rsidRPr="0008072E" w:rsidRDefault="0008072E" w:rsidP="0008072E">
      <w:pPr>
        <w:pStyle w:val="berschrift1"/>
        <w:rPr>
          <w:lang w:val="ru-RU"/>
        </w:rPr>
      </w:pPr>
      <w:r w:rsidRPr="0008072E">
        <w:rPr>
          <w:lang w:val="ru-RU"/>
        </w:rPr>
        <w:t>Взгляд за кулисы</w:t>
      </w:r>
    </w:p>
    <w:p w:rsidR="0008072E" w:rsidRPr="0008072E" w:rsidRDefault="0008072E" w:rsidP="0008072E">
      <w:pPr>
        <w:rPr>
          <w:lang w:val="ru-RU"/>
        </w:rPr>
      </w:pPr>
    </w:p>
    <w:p w:rsidR="0008072E" w:rsidRPr="0008072E" w:rsidRDefault="0008072E" w:rsidP="0008072E">
      <w:pPr>
        <w:rPr>
          <w:lang w:val="ru-RU"/>
        </w:rPr>
      </w:pPr>
      <w:r w:rsidRPr="0008072E">
        <w:rPr>
          <w:lang w:val="ru-RU"/>
        </w:rPr>
        <w:t>Где переодевается дирижер перед концертом? Как музыканты настраивают свои инструменты перед выступлением? В венском Музикферайне, на Брегенцском фестивале, а также в венском Концертхаусе посетители могут заглянуть за кулисы.</w:t>
      </w:r>
    </w:p>
    <w:p w:rsidR="0008072E" w:rsidRDefault="0008072E" w:rsidP="0008072E">
      <w:pPr>
        <w:rPr>
          <w:lang w:val="ru-RU"/>
        </w:rPr>
      </w:pPr>
    </w:p>
    <w:p w:rsidR="0008072E" w:rsidRDefault="0008072E" w:rsidP="0008072E">
      <w:pPr>
        <w:rPr>
          <w:lang w:val="ru-RU"/>
        </w:rPr>
      </w:pPr>
    </w:p>
    <w:p w:rsidR="0008072E" w:rsidRPr="0008072E" w:rsidRDefault="0008072E" w:rsidP="0008072E">
      <w:pPr>
        <w:pStyle w:val="berschrift2"/>
        <w:rPr>
          <w:lang w:val="ru-RU"/>
        </w:rPr>
      </w:pPr>
      <w:r w:rsidRPr="0008072E">
        <w:rPr>
          <w:lang w:val="ru-RU"/>
        </w:rPr>
        <w:t>Венский Музикферайн</w:t>
      </w:r>
    </w:p>
    <w:p w:rsidR="0008072E" w:rsidRPr="0008072E" w:rsidRDefault="0008072E" w:rsidP="0008072E">
      <w:pPr>
        <w:rPr>
          <w:lang w:val="ru-RU"/>
        </w:rPr>
      </w:pPr>
      <w:r w:rsidRPr="0008072E">
        <w:rPr>
          <w:lang w:val="ru-RU"/>
        </w:rPr>
        <w:t>Музикферайн (Musikverein), который известен как резиденция Венского филармонического оркестра, во всем мире считается одним из самых красивых концертных залов. До сих пор он славится непревзойденной великолепной акустикой.</w:t>
      </w:r>
    </w:p>
    <w:p w:rsidR="0008072E" w:rsidRPr="0008072E" w:rsidRDefault="0008072E" w:rsidP="0008072E">
      <w:pPr>
        <w:rPr>
          <w:lang w:val="ru-RU"/>
        </w:rPr>
      </w:pPr>
    </w:p>
    <w:p w:rsidR="0008072E" w:rsidRPr="0008072E" w:rsidRDefault="0008072E" w:rsidP="0008072E">
      <w:pPr>
        <w:rPr>
          <w:lang w:val="ru-RU"/>
        </w:rPr>
      </w:pPr>
      <w:r w:rsidRPr="0008072E">
        <w:rPr>
          <w:lang w:val="ru-RU"/>
        </w:rPr>
        <w:t>Созданный по проекту архитектора Теофила фон Хансена (Theophil von Hansen), приверженца классицизма, вот уже 146 лет Музикферайн представляет классическую музыку высочайшего ранга. Золотой зал, который ежегодно во время Новогоднего концерта можно увидеть на экранах телевизоров любителей музыки по всему миру, приобрел особенную международную известность. Во время экскурсии посетители познакомятся с помещениями здания и узнают, где музыканты хранят свои инструменты, а дирижер надевает фрак.</w:t>
      </w:r>
    </w:p>
    <w:p w:rsidR="0008072E" w:rsidRPr="0008072E" w:rsidRDefault="0008072E" w:rsidP="0008072E">
      <w:pPr>
        <w:rPr>
          <w:lang w:val="ru-RU"/>
        </w:rPr>
      </w:pPr>
    </w:p>
    <w:p w:rsidR="0008072E" w:rsidRPr="0008072E" w:rsidRDefault="0008072E" w:rsidP="0008072E">
      <w:pPr>
        <w:rPr>
          <w:lang w:val="ru-RU"/>
        </w:rPr>
      </w:pPr>
      <w:r w:rsidRPr="0008072E">
        <w:rPr>
          <w:lang w:val="ru-RU"/>
        </w:rPr>
        <w:t>Общедоступные экскурсии проводятся ежедневно кроме воскресенья. Так как Музикферайн является действующим концертным залом, экскурсии иногда могут быть перенесены или отменены из-за проведения репетиций или технических работ. С актуальными предложениями можно ознакомиться на странице www.musikverein.at. Билеты на экскурсию стоят 6,50 евро.</w:t>
      </w:r>
    </w:p>
    <w:p w:rsidR="0008072E" w:rsidRPr="0008072E" w:rsidRDefault="0008072E" w:rsidP="0008072E">
      <w:pPr>
        <w:rPr>
          <w:lang w:val="ru-RU"/>
        </w:rPr>
      </w:pPr>
    </w:p>
    <w:p w:rsidR="0008072E" w:rsidRPr="0008072E" w:rsidRDefault="0008072E" w:rsidP="0008072E">
      <w:pPr>
        <w:rPr>
          <w:lang w:val="ru-RU"/>
        </w:rPr>
      </w:pPr>
      <w:r w:rsidRPr="0008072E">
        <w:rPr>
          <w:lang w:val="ru-RU"/>
        </w:rPr>
        <w:t>Венский Музикферайн, Musi</w:t>
      </w:r>
      <w:r>
        <w:rPr>
          <w:lang w:val="ru-RU"/>
        </w:rPr>
        <w:t xml:space="preserve">kvereinsplatz 1, 1010 Wien, </w:t>
      </w:r>
      <w:r w:rsidRPr="0008072E">
        <w:rPr>
          <w:lang w:val="ru-RU"/>
        </w:rPr>
        <w:t xml:space="preserve"> </w:t>
      </w:r>
      <w:hyperlink r:id="rId11" w:history="1">
        <w:r w:rsidRPr="00EE1E1F">
          <w:rPr>
            <w:rStyle w:val="Hyperlink"/>
            <w:lang w:val="ru-RU"/>
          </w:rPr>
          <w:t>www.musikverein.at</w:t>
        </w:r>
      </w:hyperlink>
      <w:r>
        <w:rPr>
          <w:lang w:val="ru-RU"/>
        </w:rPr>
        <w:t xml:space="preserve"> </w:t>
      </w:r>
    </w:p>
    <w:p w:rsidR="0008072E" w:rsidRPr="0008072E" w:rsidRDefault="0008072E" w:rsidP="0008072E">
      <w:pPr>
        <w:rPr>
          <w:lang w:val="ru-RU"/>
        </w:rPr>
      </w:pPr>
    </w:p>
    <w:p w:rsidR="0008072E" w:rsidRPr="0008072E" w:rsidRDefault="0008072E" w:rsidP="0008072E">
      <w:pPr>
        <w:rPr>
          <w:lang w:val="ru-RU"/>
        </w:rPr>
      </w:pPr>
      <w:r w:rsidRPr="0008072E">
        <w:rPr>
          <w:lang w:val="ru-RU"/>
        </w:rPr>
        <w:t xml:space="preserve"> </w:t>
      </w:r>
    </w:p>
    <w:p w:rsidR="0008072E" w:rsidRPr="0008072E" w:rsidRDefault="0008072E" w:rsidP="0008072E">
      <w:pPr>
        <w:pStyle w:val="berschrift2"/>
        <w:rPr>
          <w:lang w:val="ru-RU"/>
        </w:rPr>
      </w:pPr>
      <w:r w:rsidRPr="0008072E">
        <w:rPr>
          <w:lang w:val="ru-RU"/>
        </w:rPr>
        <w:t>Брегенцский фестиваль</w:t>
      </w:r>
    </w:p>
    <w:p w:rsidR="0008072E" w:rsidRPr="0008072E" w:rsidRDefault="0008072E" w:rsidP="0008072E">
      <w:pPr>
        <w:rPr>
          <w:lang w:val="ru-RU"/>
        </w:rPr>
      </w:pPr>
      <w:r w:rsidRPr="0008072E">
        <w:rPr>
          <w:lang w:val="ru-RU"/>
        </w:rPr>
        <w:t>На двух насыпных сценах (одна – для сценических декораций, вторая – для оркестра) через год после окончания Второй мировой войны впервые состоялась Брегенцская фестивальная неделя. Сегодня Брегенцский фестиваль (Bregenzer Festspiele) ежегодно привлекает на Боденское озеро до 228 000 любителей культуры со всего мира. Во время экскурсий посетители окунутся в мир театрального дела и заглянут за кулисы фестиваля с богатыми традициями.</w:t>
      </w:r>
    </w:p>
    <w:p w:rsidR="0008072E" w:rsidRPr="0008072E" w:rsidRDefault="0008072E" w:rsidP="0008072E">
      <w:pPr>
        <w:rPr>
          <w:lang w:val="ru-RU"/>
        </w:rPr>
      </w:pPr>
    </w:p>
    <w:p w:rsidR="0008072E" w:rsidRPr="0008072E" w:rsidRDefault="0008072E" w:rsidP="0008072E">
      <w:pPr>
        <w:rPr>
          <w:lang w:val="ru-RU"/>
        </w:rPr>
      </w:pPr>
      <w:r w:rsidRPr="0008072E">
        <w:rPr>
          <w:lang w:val="ru-RU"/>
        </w:rPr>
        <w:t>С 29 мая по 17 июля каждый понедельник, среду и пятницу в 16:00 можно принять участие в 50-минутной экскурсии (место встречи – у главного входа). С 19 июля по 20 августа с 10:30 до 15:30 экскурсии проводятся каждый час (место встречи – у главного входа). Билеты стоят 7,50 евро, дети до 10 лет – бесплатно. Из-за репетиций, работ по реконструкции и погодных условий программа экскурсии может быть ограничена.</w:t>
      </w:r>
    </w:p>
    <w:p w:rsidR="0008072E" w:rsidRPr="0008072E" w:rsidRDefault="0008072E" w:rsidP="0008072E">
      <w:pPr>
        <w:rPr>
          <w:lang w:val="ru-RU"/>
        </w:rPr>
      </w:pPr>
    </w:p>
    <w:p w:rsidR="0008072E" w:rsidRPr="0008072E" w:rsidRDefault="0008072E" w:rsidP="0008072E">
      <w:pPr>
        <w:rPr>
          <w:lang w:val="ru-RU"/>
        </w:rPr>
      </w:pPr>
      <w:r w:rsidRPr="0008072E">
        <w:rPr>
          <w:lang w:val="ru-RU"/>
        </w:rPr>
        <w:t>Увлекательные технические тонкости Озерной сцены, а также музыкальные репетиции ждут участников 20-минутной презентации сцены (Даты: 17 и 24 июня, а также 1 и 8 июля 2017 года в 14:00). Вход свободный.</w:t>
      </w:r>
    </w:p>
    <w:p w:rsidR="0008072E" w:rsidRPr="0008072E" w:rsidRDefault="0008072E" w:rsidP="0008072E">
      <w:pPr>
        <w:rPr>
          <w:lang w:val="ru-RU"/>
        </w:rPr>
      </w:pPr>
    </w:p>
    <w:p w:rsidR="0008072E" w:rsidRPr="0008072E" w:rsidRDefault="0008072E" w:rsidP="0008072E">
      <w:r w:rsidRPr="0008072E">
        <w:rPr>
          <w:lang w:val="ru-RU"/>
        </w:rPr>
        <w:t>Брегенцский</w:t>
      </w:r>
      <w:r w:rsidRPr="0008072E">
        <w:t xml:space="preserve"> </w:t>
      </w:r>
      <w:r w:rsidRPr="0008072E">
        <w:rPr>
          <w:lang w:val="ru-RU"/>
        </w:rPr>
        <w:t>фестиваль</w:t>
      </w:r>
      <w:r w:rsidRPr="0008072E">
        <w:t xml:space="preserve">, Platz der Wiener Symphoniker 1,  6900 Bregenz, </w:t>
      </w:r>
      <w:hyperlink r:id="rId12" w:history="1">
        <w:r w:rsidRPr="0008072E">
          <w:rPr>
            <w:rStyle w:val="Hyperlink"/>
          </w:rPr>
          <w:t>www.bregenzerfestspiele.com</w:t>
        </w:r>
      </w:hyperlink>
      <w:r w:rsidRPr="0008072E">
        <w:t xml:space="preserve"> </w:t>
      </w:r>
    </w:p>
    <w:p w:rsidR="0008072E" w:rsidRDefault="0008072E" w:rsidP="0008072E">
      <w:pPr>
        <w:pStyle w:val="OEWVorlage"/>
      </w:pPr>
    </w:p>
    <w:p w:rsidR="0008072E" w:rsidRPr="0008072E" w:rsidRDefault="0008072E" w:rsidP="0008072E">
      <w:pPr>
        <w:pStyle w:val="berschrift2"/>
      </w:pPr>
    </w:p>
    <w:p w:rsidR="0008072E" w:rsidRPr="0008072E" w:rsidRDefault="0008072E" w:rsidP="0008072E">
      <w:pPr>
        <w:pStyle w:val="berschrift2"/>
        <w:rPr>
          <w:lang w:val="ru-RU"/>
        </w:rPr>
      </w:pPr>
      <w:r w:rsidRPr="0008072E">
        <w:rPr>
          <w:lang w:val="ru-RU"/>
        </w:rPr>
        <w:t>Венский Концертхаус</w:t>
      </w:r>
    </w:p>
    <w:p w:rsidR="0008072E" w:rsidRPr="0008072E" w:rsidRDefault="0008072E" w:rsidP="0008072E">
      <w:pPr>
        <w:rPr>
          <w:lang w:val="ru-RU"/>
        </w:rPr>
      </w:pPr>
      <w:r w:rsidRPr="0008072E">
        <w:rPr>
          <w:lang w:val="ru-RU"/>
        </w:rPr>
        <w:t>Концертхаус, созданный театральными архитекторами Фердинандом Фелльнером (Ferdinand Fellner) и Германом Готлибом Гельмером (Hermann Gottlieb Helmer) в сотрудничестве с Людвигом Бауманом (Ludwig Baumann), более ста лет задает тон культурной жизни Вены. Парадное здание стало не только излюбленным местом встречи знаменитых мировых исполнителей, но и главной обителью и форумом многочисленных австрийских деятелей искусства: например, здесь размещаются Венский камерный оркестр и ансамбль исполнителей современной академической музыки Klangforum Wien. В Венском Концертхаусе проводится более 800 концертов в сезон.</w:t>
      </w:r>
    </w:p>
    <w:p w:rsidR="0008072E" w:rsidRPr="0008072E" w:rsidRDefault="0008072E" w:rsidP="0008072E">
      <w:pPr>
        <w:rPr>
          <w:lang w:val="ru-RU"/>
        </w:rPr>
      </w:pPr>
    </w:p>
    <w:p w:rsidR="0008072E" w:rsidRPr="0008072E" w:rsidRDefault="0008072E" w:rsidP="0008072E">
      <w:pPr>
        <w:rPr>
          <w:lang w:val="ru-RU"/>
        </w:rPr>
      </w:pPr>
      <w:r w:rsidRPr="0008072E">
        <w:rPr>
          <w:lang w:val="ru-RU"/>
        </w:rPr>
        <w:t>Во время экскурсий за кулисы можно увидеть много интересного – от пространства за сценой и комнат солистов до гардеробных. Зачастую также есть возможность побывать на репетициях и подышать одним воздухом с оркестром.</w:t>
      </w:r>
    </w:p>
    <w:p w:rsidR="0008072E" w:rsidRPr="0008072E" w:rsidRDefault="0008072E" w:rsidP="0008072E">
      <w:pPr>
        <w:rPr>
          <w:lang w:val="ru-RU"/>
        </w:rPr>
      </w:pPr>
    </w:p>
    <w:p w:rsidR="0008072E" w:rsidRPr="0008072E" w:rsidRDefault="0008072E" w:rsidP="0008072E">
      <w:pPr>
        <w:rPr>
          <w:lang w:val="ru-RU"/>
        </w:rPr>
      </w:pPr>
      <w:r w:rsidRPr="0008072E">
        <w:rPr>
          <w:lang w:val="ru-RU"/>
        </w:rPr>
        <w:t>Экскурсия длится ровно один час. Место сбора – главный вход в Венский Концертхаус (фойе) на улице Лотрингерштрассе (Lothringerstraße).</w:t>
      </w:r>
    </w:p>
    <w:p w:rsidR="0008072E" w:rsidRPr="0008072E" w:rsidRDefault="0008072E" w:rsidP="0008072E">
      <w:pPr>
        <w:rPr>
          <w:lang w:val="ru-RU"/>
        </w:rPr>
      </w:pPr>
    </w:p>
    <w:p w:rsidR="0008072E" w:rsidRPr="0008072E" w:rsidRDefault="0008072E" w:rsidP="0008072E">
      <w:pPr>
        <w:rPr>
          <w:lang w:val="ru-RU"/>
        </w:rPr>
      </w:pPr>
      <w:r w:rsidRPr="0008072E">
        <w:rPr>
          <w:lang w:val="ru-RU"/>
        </w:rPr>
        <w:t>Более подробная информация, а также регистрация – по электронной почте tours@konzerthaus.at.</w:t>
      </w:r>
    </w:p>
    <w:p w:rsidR="0008072E" w:rsidRPr="0008072E" w:rsidRDefault="0008072E" w:rsidP="0008072E">
      <w:pPr>
        <w:rPr>
          <w:lang w:val="ru-RU"/>
        </w:rPr>
      </w:pPr>
    </w:p>
    <w:p w:rsidR="00B154AB" w:rsidRPr="0008072E" w:rsidRDefault="0008072E" w:rsidP="0008072E">
      <w:r w:rsidRPr="0008072E">
        <w:rPr>
          <w:lang w:val="ru-RU"/>
        </w:rPr>
        <w:t xml:space="preserve">Венский Концертхаус, Lothringerstraße 20, 1030 Wien, </w:t>
      </w:r>
      <w:hyperlink r:id="rId13" w:history="1">
        <w:r w:rsidRPr="00EE1E1F">
          <w:rPr>
            <w:rStyle w:val="Hyperlink"/>
            <w:lang w:val="ru-RU"/>
          </w:rPr>
          <w:t>www.konzerthaus.at</w:t>
        </w:r>
      </w:hyperlink>
      <w:r>
        <w:rPr>
          <w:lang w:val="ru-RU"/>
        </w:rPr>
        <w:t xml:space="preserve"> </w:t>
      </w:r>
      <w:bookmarkStart w:id="0" w:name="_GoBack"/>
      <w:bookmarkEnd w:id="0"/>
    </w:p>
    <w:sectPr w:rsidR="00B154AB" w:rsidRPr="0008072E" w:rsidSect="00C302A3">
      <w:footerReference w:type="default" r:id="rId14"/>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343EFA" w:rsidP="00FB6190">
    <w:pPr>
      <w:pStyle w:val="Fuzeile"/>
      <w:tabs>
        <w:tab w:val="clear" w:pos="9072"/>
        <w:tab w:val="right" w:pos="7797"/>
      </w:tabs>
      <w:rPr>
        <w:b/>
      </w:rPr>
    </w:pPr>
    <w:r>
      <w:rPr>
        <w:noProof/>
        <w:lang w:eastAsia="de-DE"/>
      </w:rPr>
      <w:drawing>
        <wp:anchor distT="0" distB="0" distL="114300" distR="114300" simplePos="0" relativeHeight="251665408" behindDoc="1" locked="0" layoutInCell="1" allowOverlap="1" wp14:anchorId="596C8319" wp14:editId="596C831A">
          <wp:simplePos x="0" y="0"/>
          <wp:positionH relativeFrom="column">
            <wp:posOffset>4524375</wp:posOffset>
          </wp:positionH>
          <wp:positionV relativeFrom="paragraph">
            <wp:posOffset>12700</wp:posOffset>
          </wp:positionV>
          <wp:extent cx="1295400" cy="250825"/>
          <wp:effectExtent l="0" t="0" r="0" b="0"/>
          <wp:wrapTight wrapText="bothSides">
            <wp:wrapPolygon edited="0">
              <wp:start x="0" y="0"/>
              <wp:lineTo x="0" y="19686"/>
              <wp:lineTo x="21282" y="19686"/>
              <wp:lineTo x="212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_b2b_logo-DE_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50825"/>
                  </a:xfrm>
                  <a:prstGeom prst="rect">
                    <a:avLst/>
                  </a:prstGeom>
                </pic:spPr>
              </pic:pic>
            </a:graphicData>
          </a:graphic>
          <wp14:sizeRelH relativeFrom="page">
            <wp14:pctWidth>0</wp14:pctWidth>
          </wp14:sizeRelH>
          <wp14:sizeRelV relativeFrom="page">
            <wp14:pctHeight>0</wp14:pctHeight>
          </wp14:sizeRelV>
        </wp:anchor>
      </w:drawing>
    </w:r>
    <w:r w:rsidR="00E97906">
      <w:t>moskau</w:t>
    </w:r>
    <w:r w:rsidRPr="00FB6190">
      <w:t>@austria.info</w:t>
    </w:r>
    <w:r>
      <w:tab/>
      <w:t xml:space="preserve">Seite </w:t>
    </w:r>
    <w:r>
      <w:rPr>
        <w:b/>
      </w:rPr>
      <w:fldChar w:fldCharType="begin"/>
    </w:r>
    <w:r>
      <w:rPr>
        <w:b/>
      </w:rPr>
      <w:instrText>PAGE  \* Arabic  \* MERGEFORMAT</w:instrText>
    </w:r>
    <w:r>
      <w:rPr>
        <w:b/>
      </w:rPr>
      <w:fldChar w:fldCharType="separate"/>
    </w:r>
    <w:r w:rsidR="0008072E">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08072E">
      <w:rPr>
        <w:b/>
        <w:noProof/>
      </w:rPr>
      <w:t>2</w:t>
    </w:r>
    <w:r>
      <w:rPr>
        <w:b/>
      </w:rPr>
      <w:fldChar w:fldCharType="end"/>
    </w:r>
    <w:r>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8072E"/>
    <w:rsid w:val="00093242"/>
    <w:rsid w:val="000C1FF6"/>
    <w:rsid w:val="0015059A"/>
    <w:rsid w:val="00343EFA"/>
    <w:rsid w:val="00366347"/>
    <w:rsid w:val="003835F9"/>
    <w:rsid w:val="003B23D1"/>
    <w:rsid w:val="004B0D5B"/>
    <w:rsid w:val="004F58D2"/>
    <w:rsid w:val="004F636E"/>
    <w:rsid w:val="00500CC4"/>
    <w:rsid w:val="00507E05"/>
    <w:rsid w:val="005B25EE"/>
    <w:rsid w:val="005D2D48"/>
    <w:rsid w:val="006B4981"/>
    <w:rsid w:val="007B7733"/>
    <w:rsid w:val="00895ADB"/>
    <w:rsid w:val="008D457C"/>
    <w:rsid w:val="009612C5"/>
    <w:rsid w:val="00970483"/>
    <w:rsid w:val="009D3E54"/>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semiHidden/>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semiHidden/>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 w:id="1468741202">
      <w:bodyDiv w:val="1"/>
      <w:marLeft w:val="0"/>
      <w:marRight w:val="0"/>
      <w:marTop w:val="0"/>
      <w:marBottom w:val="0"/>
      <w:divBdr>
        <w:top w:val="none" w:sz="0" w:space="0" w:color="auto"/>
        <w:left w:val="none" w:sz="0" w:space="0" w:color="auto"/>
        <w:bottom w:val="none" w:sz="0" w:space="0" w:color="auto"/>
        <w:right w:val="none" w:sz="0" w:space="0" w:color="auto"/>
      </w:divBdr>
      <w:divsChild>
        <w:div w:id="506023570">
          <w:marLeft w:val="0"/>
          <w:marRight w:val="0"/>
          <w:marTop w:val="0"/>
          <w:marBottom w:val="0"/>
          <w:divBdr>
            <w:top w:val="none" w:sz="0" w:space="0" w:color="auto"/>
            <w:left w:val="none" w:sz="0" w:space="0" w:color="auto"/>
            <w:bottom w:val="none" w:sz="0" w:space="0" w:color="auto"/>
            <w:right w:val="none" w:sz="0" w:space="0" w:color="auto"/>
          </w:divBdr>
          <w:divsChild>
            <w:div w:id="2024819294">
              <w:marLeft w:val="0"/>
              <w:marRight w:val="0"/>
              <w:marTop w:val="0"/>
              <w:marBottom w:val="0"/>
              <w:divBdr>
                <w:top w:val="none" w:sz="0" w:space="0" w:color="auto"/>
                <w:left w:val="none" w:sz="0" w:space="0" w:color="auto"/>
                <w:bottom w:val="none" w:sz="0" w:space="0" w:color="auto"/>
                <w:right w:val="none" w:sz="0" w:space="0" w:color="auto"/>
              </w:divBdr>
              <w:divsChild>
                <w:div w:id="1640958012">
                  <w:marLeft w:val="0"/>
                  <w:marRight w:val="0"/>
                  <w:marTop w:val="0"/>
                  <w:marBottom w:val="0"/>
                  <w:divBdr>
                    <w:top w:val="none" w:sz="0" w:space="0" w:color="auto"/>
                    <w:left w:val="none" w:sz="0" w:space="0" w:color="auto"/>
                    <w:bottom w:val="none" w:sz="0" w:space="0" w:color="auto"/>
                    <w:right w:val="none" w:sz="0" w:space="0" w:color="auto"/>
                  </w:divBdr>
                  <w:divsChild>
                    <w:div w:id="1983919127">
                      <w:marLeft w:val="0"/>
                      <w:marRight w:val="0"/>
                      <w:marTop w:val="0"/>
                      <w:marBottom w:val="0"/>
                      <w:divBdr>
                        <w:top w:val="none" w:sz="0" w:space="0" w:color="auto"/>
                        <w:left w:val="none" w:sz="0" w:space="0" w:color="auto"/>
                        <w:bottom w:val="none" w:sz="0" w:space="0" w:color="auto"/>
                        <w:right w:val="none" w:sz="0" w:space="0" w:color="auto"/>
                      </w:divBdr>
                    </w:div>
                  </w:divsChild>
                </w:div>
                <w:div w:id="1610507437">
                  <w:marLeft w:val="0"/>
                  <w:marRight w:val="0"/>
                  <w:marTop w:val="0"/>
                  <w:marBottom w:val="0"/>
                  <w:divBdr>
                    <w:top w:val="none" w:sz="0" w:space="0" w:color="auto"/>
                    <w:left w:val="none" w:sz="0" w:space="0" w:color="auto"/>
                    <w:bottom w:val="none" w:sz="0" w:space="0" w:color="auto"/>
                    <w:right w:val="none" w:sz="0" w:space="0" w:color="auto"/>
                  </w:divBdr>
                  <w:divsChild>
                    <w:div w:id="15684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zerthaus.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genzerfestspie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sikverein.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8E32D-3038-41D3-9806-FDCB4F07ED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4.xml><?xml version="1.0" encoding="utf-8"?>
<ds:datastoreItem xmlns:ds="http://schemas.openxmlformats.org/officeDocument/2006/customXml" ds:itemID="{1E2AF4AA-04F8-4A72-9ADB-A817F09F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4</cp:revision>
  <dcterms:created xsi:type="dcterms:W3CDTF">2017-03-30T12:07:00Z</dcterms:created>
  <dcterms:modified xsi:type="dcterms:W3CDTF">2017-03-30T12:12:00Z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